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5833" w14:textId="77777777" w:rsidR="004740BA" w:rsidRDefault="004740BA" w:rsidP="004740BA">
      <w:pPr>
        <w:pStyle w:val="Corpotesto"/>
        <w:ind w:left="2604"/>
        <w:jc w:val="both"/>
        <w:rPr>
          <w:sz w:val="20"/>
        </w:rPr>
      </w:pPr>
      <w:r>
        <w:rPr>
          <w:noProof/>
          <w:sz w:val="20"/>
        </w:rPr>
        <w:drawing>
          <wp:inline distT="0" distB="0" distL="0" distR="0" wp14:anchorId="35817B5A" wp14:editId="4365EE9B">
            <wp:extent cx="3280707" cy="491490"/>
            <wp:effectExtent l="0" t="0" r="0" b="0"/>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7" cstate="print"/>
                    <a:stretch>
                      <a:fillRect/>
                    </a:stretch>
                  </pic:blipFill>
                  <pic:spPr>
                    <a:xfrm>
                      <a:off x="0" y="0"/>
                      <a:ext cx="3280707" cy="491490"/>
                    </a:xfrm>
                    <a:prstGeom prst="rect">
                      <a:avLst/>
                    </a:prstGeom>
                  </pic:spPr>
                </pic:pic>
              </a:graphicData>
            </a:graphic>
          </wp:inline>
        </w:drawing>
      </w:r>
    </w:p>
    <w:p w14:paraId="44AB00D9" w14:textId="5F315C40" w:rsidR="004740BA" w:rsidRDefault="00342DF6" w:rsidP="00342DF6">
      <w:pPr>
        <w:ind w:left="4061" w:right="2413" w:hanging="540"/>
        <w:jc w:val="both"/>
        <w:rPr>
          <w:sz w:val="20"/>
        </w:rPr>
      </w:pPr>
      <w:bookmarkStart w:id="0" w:name="_Hlk109653995"/>
      <w:r w:rsidRPr="002F7294">
        <w:rPr>
          <w:rFonts w:asciiTheme="minorHAnsi" w:hAnsiTheme="minorHAnsi" w:cstheme="minorHAnsi"/>
          <w:b/>
          <w:bCs/>
          <w:sz w:val="18"/>
          <w:lang w:val="en-US"/>
        </w:rPr>
        <w:t>Institute of Materials for Electronics and Magnetism</w:t>
      </w:r>
      <w:bookmarkEnd w:id="0"/>
    </w:p>
    <w:p w14:paraId="6F4C6F87" w14:textId="77777777" w:rsidR="004740BA" w:rsidRDefault="004740BA" w:rsidP="004740BA">
      <w:pPr>
        <w:ind w:left="284" w:right="791"/>
        <w:jc w:val="both"/>
        <w:rPr>
          <w:b/>
          <w:sz w:val="21"/>
        </w:rPr>
      </w:pPr>
      <w:r>
        <w:rPr>
          <w:b/>
          <w:color w:val="010202"/>
          <w:sz w:val="21"/>
        </w:rPr>
        <w:t>ANNEX A</w:t>
      </w:r>
    </w:p>
    <w:p w14:paraId="625F810E" w14:textId="77777777" w:rsidR="004740BA" w:rsidRDefault="004740BA" w:rsidP="004740BA">
      <w:pPr>
        <w:pStyle w:val="Corpotesto"/>
        <w:jc w:val="both"/>
        <w:rPr>
          <w:b/>
          <w:sz w:val="20"/>
        </w:rPr>
      </w:pPr>
    </w:p>
    <w:p w14:paraId="04E6EF66" w14:textId="77777777" w:rsidR="004740BA" w:rsidRDefault="004740BA" w:rsidP="004740BA">
      <w:pPr>
        <w:pStyle w:val="Corpotesto"/>
        <w:spacing w:before="10"/>
        <w:jc w:val="both"/>
        <w:rPr>
          <w:b/>
          <w:sz w:val="23"/>
        </w:rPr>
      </w:pPr>
    </w:p>
    <w:p w14:paraId="2A7AD274" w14:textId="77777777" w:rsidR="004740BA" w:rsidRDefault="004740BA" w:rsidP="004740BA">
      <w:pPr>
        <w:spacing w:before="92" w:line="256" w:lineRule="auto"/>
        <w:ind w:left="173" w:right="793"/>
        <w:jc w:val="both"/>
        <w:rPr>
          <w:b/>
          <w:sz w:val="21"/>
        </w:rPr>
      </w:pPr>
      <w:r>
        <w:rPr>
          <w:b/>
          <w:color w:val="010202"/>
          <w:sz w:val="21"/>
        </w:rPr>
        <w:t>INFORMATION ON PERSONAL DATA PROCESSING PURSUANT TO ART. 13 OF REGULATION (EU) 2016/679</w:t>
      </w:r>
    </w:p>
    <w:p w14:paraId="26AB0865" w14:textId="77777777" w:rsidR="004740BA" w:rsidRDefault="004740BA" w:rsidP="004740BA">
      <w:pPr>
        <w:pStyle w:val="Corpotesto"/>
        <w:spacing w:before="4"/>
        <w:jc w:val="both"/>
        <w:rPr>
          <w:b/>
          <w:sz w:val="28"/>
        </w:rPr>
      </w:pPr>
    </w:p>
    <w:p w14:paraId="0A6DC12B" w14:textId="77777777" w:rsidR="004740BA" w:rsidRDefault="004740BA" w:rsidP="004740BA">
      <w:pPr>
        <w:spacing w:before="1" w:line="241" w:lineRule="exact"/>
        <w:ind w:left="173"/>
        <w:jc w:val="both"/>
        <w:rPr>
          <w:sz w:val="21"/>
        </w:rPr>
      </w:pPr>
      <w:r>
        <w:rPr>
          <w:color w:val="010202"/>
          <w:sz w:val="21"/>
        </w:rPr>
        <w:t>Pursuant to Art. 13 of such Regulation, please be informed that:</w:t>
      </w:r>
    </w:p>
    <w:p w14:paraId="2F98441F" w14:textId="77777777" w:rsidR="004740BA" w:rsidRDefault="004740BA" w:rsidP="004740BA">
      <w:pPr>
        <w:pStyle w:val="Paragrafoelenco"/>
        <w:numPr>
          <w:ilvl w:val="0"/>
          <w:numId w:val="1"/>
        </w:numPr>
        <w:tabs>
          <w:tab w:val="left" w:pos="598"/>
        </w:tabs>
        <w:ind w:right="787"/>
        <w:rPr>
          <w:sz w:val="21"/>
        </w:rPr>
      </w:pPr>
      <w:r>
        <w:rPr>
          <w:color w:val="010202"/>
          <w:sz w:val="21"/>
        </w:rPr>
        <w:t xml:space="preserve">Your personal data will be processed for the following purposes: conduct of the competition procedure, including any use of rankings and for the potential subsequent conferral of study grants, for the performance of tasks of public interest or in any case connected with the exercise of the public powers entrusted to the </w:t>
      </w:r>
      <w:proofErr w:type="spellStart"/>
      <w:r>
        <w:rPr>
          <w:color w:val="010202"/>
          <w:sz w:val="21"/>
        </w:rPr>
        <w:t>Consiglio</w:t>
      </w:r>
      <w:proofErr w:type="spellEnd"/>
      <w:r>
        <w:rPr>
          <w:color w:val="010202"/>
          <w:sz w:val="21"/>
        </w:rPr>
        <w:t xml:space="preserve"> Nazionale </w:t>
      </w:r>
      <w:proofErr w:type="spellStart"/>
      <w:r>
        <w:rPr>
          <w:color w:val="010202"/>
          <w:sz w:val="21"/>
        </w:rPr>
        <w:t>delle</w:t>
      </w:r>
      <w:proofErr w:type="spellEnd"/>
      <w:r>
        <w:rPr>
          <w:color w:val="010202"/>
          <w:sz w:val="21"/>
        </w:rPr>
        <w:t xml:space="preserve"> </w:t>
      </w:r>
      <w:proofErr w:type="spellStart"/>
      <w:r>
        <w:rPr>
          <w:color w:val="010202"/>
          <w:sz w:val="21"/>
        </w:rPr>
        <w:t>Ricerche</w:t>
      </w:r>
      <w:proofErr w:type="spellEnd"/>
      <w:r>
        <w:rPr>
          <w:color w:val="010202"/>
          <w:sz w:val="21"/>
        </w:rPr>
        <w:t xml:space="preserve"> (CNR - Italian National Research Council). The data will be processed for the time necessary to make the selection and, in the event of the award of a study grant, for the entire duration of the relationship established with the holder of the study grant and after its cessation, in order to fulfil any legal obligations in compliance with current rules governing the storage of administrative </w:t>
      </w:r>
      <w:proofErr w:type="gramStart"/>
      <w:r>
        <w:rPr>
          <w:color w:val="010202"/>
          <w:sz w:val="21"/>
        </w:rPr>
        <w:t>deeds;</w:t>
      </w:r>
      <w:proofErr w:type="gramEnd"/>
    </w:p>
    <w:p w14:paraId="7F7A2742" w14:textId="77777777" w:rsidR="004740BA" w:rsidRDefault="004740BA" w:rsidP="004740BA">
      <w:pPr>
        <w:pStyle w:val="Paragrafoelenco"/>
        <w:numPr>
          <w:ilvl w:val="0"/>
          <w:numId w:val="1"/>
        </w:numPr>
        <w:tabs>
          <w:tab w:val="left" w:pos="598"/>
        </w:tabs>
        <w:ind w:right="787"/>
        <w:rPr>
          <w:sz w:val="21"/>
        </w:rPr>
      </w:pPr>
      <w:r>
        <w:rPr>
          <w:color w:val="010202"/>
          <w:sz w:val="21"/>
        </w:rPr>
        <w:t xml:space="preserve">Data will mainly be processed using computer and telematic tools, with organisation and processing procedures that are correlated with the above-specified purposes and, in any case, in such a way as to guarantee the relevant security and </w:t>
      </w:r>
      <w:proofErr w:type="gramStart"/>
      <w:r>
        <w:rPr>
          <w:color w:val="010202"/>
          <w:sz w:val="21"/>
        </w:rPr>
        <w:t>confidentiality;</w:t>
      </w:r>
      <w:proofErr w:type="gramEnd"/>
    </w:p>
    <w:p w14:paraId="0C41128E" w14:textId="77777777" w:rsidR="004740BA" w:rsidRDefault="004740BA" w:rsidP="004740BA">
      <w:pPr>
        <w:pStyle w:val="Paragrafoelenco"/>
        <w:numPr>
          <w:ilvl w:val="0"/>
          <w:numId w:val="1"/>
        </w:numPr>
        <w:tabs>
          <w:tab w:val="left" w:pos="598"/>
        </w:tabs>
        <w:ind w:right="788"/>
        <w:rPr>
          <w:sz w:val="21"/>
        </w:rPr>
      </w:pPr>
      <w:r>
        <w:rPr>
          <w:color w:val="010202"/>
          <w:sz w:val="21"/>
        </w:rPr>
        <w:t xml:space="preserve">Conferral of data is mandatory in order to proceed with the selection procedure; any refusal to supply such data will make it impossible to take part in the </w:t>
      </w:r>
      <w:proofErr w:type="gramStart"/>
      <w:r>
        <w:rPr>
          <w:color w:val="010202"/>
          <w:sz w:val="21"/>
        </w:rPr>
        <w:t>procedure;</w:t>
      </w:r>
      <w:proofErr w:type="gramEnd"/>
    </w:p>
    <w:p w14:paraId="37718390" w14:textId="164679D8" w:rsidR="004740BA" w:rsidRDefault="004740BA" w:rsidP="004740BA">
      <w:pPr>
        <w:pStyle w:val="Paragrafoelenco"/>
        <w:numPr>
          <w:ilvl w:val="0"/>
          <w:numId w:val="1"/>
        </w:numPr>
        <w:tabs>
          <w:tab w:val="left" w:pos="598"/>
        </w:tabs>
        <w:ind w:right="788"/>
        <w:rPr>
          <w:sz w:val="21"/>
        </w:rPr>
      </w:pPr>
      <w:r>
        <w:rPr>
          <w:color w:val="010202"/>
          <w:sz w:val="21"/>
        </w:rPr>
        <w:t xml:space="preserve">In the pursuit of the purposes specified above, the Director of the Structure that issued the call, the Procedure Manager, the staff appointed to handle the various phases of the procedure, the members of the examining board and the secretary may become aware of the data in </w:t>
      </w:r>
      <w:proofErr w:type="gramStart"/>
      <w:r>
        <w:rPr>
          <w:color w:val="010202"/>
          <w:sz w:val="21"/>
        </w:rPr>
        <w:t>question;</w:t>
      </w:r>
      <w:proofErr w:type="gramEnd"/>
    </w:p>
    <w:p w14:paraId="18D10B13" w14:textId="77777777" w:rsidR="004740BA" w:rsidRDefault="004740BA" w:rsidP="004740BA">
      <w:pPr>
        <w:pStyle w:val="Paragrafoelenco"/>
        <w:numPr>
          <w:ilvl w:val="0"/>
          <w:numId w:val="1"/>
        </w:numPr>
        <w:tabs>
          <w:tab w:val="left" w:pos="597"/>
        </w:tabs>
        <w:ind w:left="596" w:right="791"/>
        <w:rPr>
          <w:sz w:val="21"/>
        </w:rPr>
      </w:pPr>
      <w:r>
        <w:rPr>
          <w:color w:val="010202"/>
          <w:sz w:val="21"/>
        </w:rPr>
        <w:t xml:space="preserve">The Data Controller is: </w:t>
      </w:r>
      <w:proofErr w:type="spellStart"/>
      <w:r>
        <w:rPr>
          <w:color w:val="010202"/>
          <w:sz w:val="21"/>
        </w:rPr>
        <w:t>Consiglio</w:t>
      </w:r>
      <w:proofErr w:type="spellEnd"/>
      <w:r>
        <w:rPr>
          <w:color w:val="010202"/>
          <w:sz w:val="21"/>
        </w:rPr>
        <w:t xml:space="preserve"> Nazionale </w:t>
      </w:r>
      <w:proofErr w:type="spellStart"/>
      <w:r>
        <w:rPr>
          <w:color w:val="010202"/>
          <w:sz w:val="21"/>
        </w:rPr>
        <w:t>delle</w:t>
      </w:r>
      <w:proofErr w:type="spellEnd"/>
      <w:r>
        <w:rPr>
          <w:color w:val="010202"/>
          <w:sz w:val="21"/>
        </w:rPr>
        <w:t xml:space="preserve"> </w:t>
      </w:r>
      <w:proofErr w:type="spellStart"/>
      <w:r>
        <w:rPr>
          <w:color w:val="010202"/>
          <w:sz w:val="21"/>
        </w:rPr>
        <w:t>Ricerche</w:t>
      </w:r>
      <w:proofErr w:type="spellEnd"/>
      <w:r>
        <w:rPr>
          <w:color w:val="010202"/>
          <w:sz w:val="21"/>
        </w:rPr>
        <w:t xml:space="preserve"> – Piazzale Aldo Moro n. 7 – 00185 Rome Certified e-mail: </w:t>
      </w:r>
      <w:hyperlink r:id="rId8">
        <w:r>
          <w:rPr>
            <w:color w:val="010202"/>
            <w:sz w:val="21"/>
          </w:rPr>
          <w:t xml:space="preserve">protocollo-ammcen@pec.cnr.it, </w:t>
        </w:r>
      </w:hyperlink>
      <w:r>
        <w:rPr>
          <w:color w:val="010202"/>
          <w:sz w:val="21"/>
        </w:rPr>
        <w:t>whose contact details are given in Article 11 of the notice, entitled “Personal data processing</w:t>
      </w:r>
      <w:proofErr w:type="gramStart"/>
      <w:r>
        <w:rPr>
          <w:color w:val="010202"/>
          <w:sz w:val="21"/>
        </w:rPr>
        <w:t>”;</w:t>
      </w:r>
      <w:proofErr w:type="gramEnd"/>
    </w:p>
    <w:p w14:paraId="26A290A0" w14:textId="77777777" w:rsidR="004740BA" w:rsidRDefault="004740BA" w:rsidP="004740BA">
      <w:pPr>
        <w:pStyle w:val="Paragrafoelenco"/>
        <w:numPr>
          <w:ilvl w:val="0"/>
          <w:numId w:val="1"/>
        </w:numPr>
        <w:tabs>
          <w:tab w:val="left" w:pos="597"/>
        </w:tabs>
        <w:ind w:left="596" w:right="785"/>
        <w:rPr>
          <w:sz w:val="21"/>
        </w:rPr>
      </w:pPr>
      <w:r>
        <w:rPr>
          <w:color w:val="010202"/>
          <w:sz w:val="21"/>
        </w:rPr>
        <w:t>The Data Protection Officer can be contacted at: E-mail: rpd@cnr.it; Certified e-mail: protocollo-</w:t>
      </w:r>
      <w:hyperlink r:id="rId9">
        <w:r>
          <w:rPr>
            <w:color w:val="010202"/>
            <w:sz w:val="21"/>
          </w:rPr>
          <w:t>ammcen@pec.cnr.it</w:t>
        </w:r>
      </w:hyperlink>
      <w:r>
        <w:rPr>
          <w:color w:val="010202"/>
          <w:sz w:val="21"/>
        </w:rPr>
        <w:t xml:space="preserve"> c/o </w:t>
      </w:r>
      <w:proofErr w:type="spellStart"/>
      <w:r>
        <w:rPr>
          <w:color w:val="010202"/>
          <w:sz w:val="21"/>
        </w:rPr>
        <w:t>Consiglio</w:t>
      </w:r>
      <w:proofErr w:type="spellEnd"/>
      <w:r>
        <w:rPr>
          <w:color w:val="010202"/>
          <w:sz w:val="21"/>
        </w:rPr>
        <w:t xml:space="preserve"> Nazionale </w:t>
      </w:r>
      <w:proofErr w:type="spellStart"/>
      <w:r>
        <w:rPr>
          <w:color w:val="010202"/>
          <w:sz w:val="21"/>
        </w:rPr>
        <w:t>delle</w:t>
      </w:r>
      <w:proofErr w:type="spellEnd"/>
      <w:r>
        <w:rPr>
          <w:color w:val="010202"/>
          <w:sz w:val="21"/>
        </w:rPr>
        <w:t xml:space="preserve"> </w:t>
      </w:r>
      <w:proofErr w:type="spellStart"/>
      <w:r>
        <w:rPr>
          <w:color w:val="010202"/>
          <w:sz w:val="21"/>
        </w:rPr>
        <w:t>Ricerche</w:t>
      </w:r>
      <w:proofErr w:type="spellEnd"/>
      <w:r>
        <w:rPr>
          <w:color w:val="010202"/>
          <w:sz w:val="21"/>
        </w:rPr>
        <w:t xml:space="preserve"> – Piazzale Aldo Moro n. 7 – 00185 </w:t>
      </w:r>
      <w:proofErr w:type="gramStart"/>
      <w:r>
        <w:rPr>
          <w:color w:val="010202"/>
          <w:sz w:val="21"/>
        </w:rPr>
        <w:t>Rome;</w:t>
      </w:r>
      <w:proofErr w:type="gramEnd"/>
    </w:p>
    <w:p w14:paraId="459310DB" w14:textId="77777777" w:rsidR="004740BA" w:rsidRDefault="004740BA" w:rsidP="004740BA">
      <w:pPr>
        <w:pStyle w:val="Paragrafoelenco"/>
        <w:numPr>
          <w:ilvl w:val="0"/>
          <w:numId w:val="1"/>
        </w:numPr>
        <w:tabs>
          <w:tab w:val="left" w:pos="597"/>
        </w:tabs>
        <w:spacing w:line="239" w:lineRule="exact"/>
        <w:ind w:left="596"/>
        <w:rPr>
          <w:sz w:val="21"/>
        </w:rPr>
      </w:pPr>
      <w:r>
        <w:rPr>
          <w:color w:val="010202"/>
          <w:sz w:val="21"/>
        </w:rPr>
        <w:t xml:space="preserve">The final rankings of the merit will be published in the manner indicated in the competition </w:t>
      </w:r>
      <w:proofErr w:type="gramStart"/>
      <w:r>
        <w:rPr>
          <w:color w:val="010202"/>
          <w:sz w:val="21"/>
        </w:rPr>
        <w:t>notice;</w:t>
      </w:r>
      <w:proofErr w:type="gramEnd"/>
    </w:p>
    <w:p w14:paraId="680EAAB0" w14:textId="317B4073" w:rsidR="004740BA" w:rsidRPr="008C7C12" w:rsidRDefault="004740BA" w:rsidP="008C7C12">
      <w:pPr>
        <w:pStyle w:val="Paragrafoelenco"/>
        <w:numPr>
          <w:ilvl w:val="0"/>
          <w:numId w:val="1"/>
        </w:numPr>
        <w:tabs>
          <w:tab w:val="left" w:pos="597"/>
        </w:tabs>
        <w:ind w:left="596" w:right="789"/>
        <w:rPr>
          <w:sz w:val="21"/>
        </w:rPr>
      </w:pPr>
      <w:r>
        <w:rPr>
          <w:color w:val="010202"/>
          <w:sz w:val="21"/>
        </w:rPr>
        <w:t>The following information about the winning candidate will also be published on the CNR website, in the “Transparent Administration” section in accordance with and pursuant to Art. 15, paragraph 1 of Italian Legislative Decree no. 33/2013: a) details of the deed of conferral of the study grant; b) CV submitted by the candidate;</w:t>
      </w:r>
      <w:r w:rsidR="008C7C12">
        <w:rPr>
          <w:color w:val="010202"/>
          <w:sz w:val="21"/>
        </w:rPr>
        <w:t xml:space="preserve"> </w:t>
      </w:r>
      <w:r w:rsidR="00DF4DB8">
        <w:rPr>
          <w:color w:val="010202"/>
          <w:sz w:val="21"/>
        </w:rPr>
        <w:t xml:space="preserve">c) </w:t>
      </w:r>
      <w:r w:rsidRPr="008C7C12">
        <w:rPr>
          <w:color w:val="010202"/>
          <w:sz w:val="21"/>
        </w:rPr>
        <w:t xml:space="preserve">the fees, under any name, relating to the study </w:t>
      </w:r>
      <w:proofErr w:type="gramStart"/>
      <w:r w:rsidRPr="008C7C12">
        <w:rPr>
          <w:color w:val="010202"/>
          <w:sz w:val="21"/>
        </w:rPr>
        <w:t>grant;</w:t>
      </w:r>
      <w:proofErr w:type="gramEnd"/>
    </w:p>
    <w:p w14:paraId="15B703B9" w14:textId="77777777" w:rsidR="004740BA" w:rsidRDefault="004740BA" w:rsidP="004740BA">
      <w:pPr>
        <w:pStyle w:val="Paragrafoelenco"/>
        <w:numPr>
          <w:ilvl w:val="0"/>
          <w:numId w:val="1"/>
        </w:numPr>
        <w:tabs>
          <w:tab w:val="left" w:pos="597"/>
        </w:tabs>
        <w:ind w:left="596" w:right="788"/>
        <w:rPr>
          <w:sz w:val="21"/>
        </w:rPr>
      </w:pPr>
      <w:r>
        <w:rPr>
          <w:color w:val="010202"/>
          <w:sz w:val="21"/>
        </w:rPr>
        <w:t xml:space="preserve">Upon completion of the selection procedure, within the limits pertaining to the foregoing purposes, the candidate’s data may be disclosed to third parties, in compliance with obligations set forth in law, regulations, national and European Community rules and provisions laid down by authorities duly authorised to do so by supervisory and control bodies, in compliance with Art. 6 of Reg. EU </w:t>
      </w:r>
      <w:proofErr w:type="gramStart"/>
      <w:r>
        <w:rPr>
          <w:color w:val="010202"/>
          <w:sz w:val="21"/>
        </w:rPr>
        <w:t>2016/679;</w:t>
      </w:r>
      <w:proofErr w:type="gramEnd"/>
    </w:p>
    <w:p w14:paraId="29168542" w14:textId="77777777" w:rsidR="004740BA" w:rsidRDefault="004740BA" w:rsidP="004740BA">
      <w:pPr>
        <w:pStyle w:val="Paragrafoelenco"/>
        <w:numPr>
          <w:ilvl w:val="0"/>
          <w:numId w:val="1"/>
        </w:numPr>
        <w:tabs>
          <w:tab w:val="left" w:pos="597"/>
        </w:tabs>
        <w:ind w:right="787"/>
        <w:rPr>
          <w:sz w:val="21"/>
        </w:rPr>
      </w:pPr>
      <w:r>
        <w:rPr>
          <w:color w:val="010202"/>
          <w:sz w:val="21"/>
        </w:rPr>
        <w:t xml:space="preserve">As data subject, the candidate has the right to ask the Controller to access the personal data concerning him or her and to exercise the rights pursuant to Articles 15 </w:t>
      </w:r>
      <w:r>
        <w:rPr>
          <w:i/>
          <w:iCs/>
          <w:color w:val="010202"/>
          <w:sz w:val="21"/>
        </w:rPr>
        <w:t>et seq.</w:t>
      </w:r>
      <w:r>
        <w:rPr>
          <w:color w:val="010202"/>
          <w:sz w:val="21"/>
        </w:rPr>
        <w:t xml:space="preserve"> of Regulation (EU) 2016/679, including to request the rectification or erasure of such or the restriction of processing or to object to processing by submitting a specific request to this end to the contact person pursuant to point 5 </w:t>
      </w:r>
      <w:proofErr w:type="gramStart"/>
      <w:r>
        <w:rPr>
          <w:color w:val="010202"/>
          <w:sz w:val="21"/>
        </w:rPr>
        <w:t>above;</w:t>
      </w:r>
      <w:proofErr w:type="gramEnd"/>
    </w:p>
    <w:p w14:paraId="6002FF87" w14:textId="77777777" w:rsidR="004740BA" w:rsidRDefault="004740BA" w:rsidP="004740BA">
      <w:pPr>
        <w:pStyle w:val="Paragrafoelenco"/>
        <w:numPr>
          <w:ilvl w:val="0"/>
          <w:numId w:val="1"/>
        </w:numPr>
        <w:tabs>
          <w:tab w:val="left" w:pos="597"/>
        </w:tabs>
        <w:ind w:right="788"/>
        <w:rPr>
          <w:sz w:val="21"/>
        </w:rPr>
      </w:pPr>
      <w:r>
        <w:rPr>
          <w:color w:val="010202"/>
          <w:sz w:val="21"/>
        </w:rPr>
        <w:t>As data subject, where conditions are met, the candidate may submit a complaint to the Data Protection Authority as the control authority according to the envisaged procedures.</w:t>
      </w:r>
    </w:p>
    <w:p w14:paraId="6E11D3FA" w14:textId="77777777" w:rsidR="004740BA" w:rsidRDefault="004740BA" w:rsidP="004740BA">
      <w:pPr>
        <w:pStyle w:val="Corpotesto"/>
        <w:jc w:val="both"/>
        <w:rPr>
          <w:sz w:val="22"/>
        </w:rPr>
      </w:pPr>
    </w:p>
    <w:p w14:paraId="43E54A80" w14:textId="0011E105" w:rsidR="00342DF6" w:rsidRDefault="004740BA" w:rsidP="00342DF6">
      <w:pPr>
        <w:tabs>
          <w:tab w:val="left" w:pos="9214"/>
        </w:tabs>
        <w:spacing w:before="165"/>
        <w:ind w:left="172"/>
        <w:jc w:val="both"/>
        <w:rPr>
          <w:color w:val="010202"/>
          <w:sz w:val="21"/>
        </w:rPr>
      </w:pPr>
      <w:r>
        <w:rPr>
          <w:color w:val="010202"/>
          <w:sz w:val="21"/>
        </w:rPr>
        <w:t>I, the undersigned</w:t>
      </w:r>
      <w:r w:rsidR="00342DF6">
        <w:rPr>
          <w:color w:val="010202"/>
          <w:sz w:val="21"/>
        </w:rPr>
        <w:t xml:space="preserve"> </w:t>
      </w:r>
      <w:r w:rsidR="00342DF6" w:rsidRPr="00342DF6">
        <w:rPr>
          <w:color w:val="010202"/>
          <w:sz w:val="21"/>
          <w:u w:val="single"/>
        </w:rPr>
        <w:tab/>
      </w:r>
    </w:p>
    <w:p w14:paraId="1BE14890" w14:textId="77777777" w:rsidR="00342DF6" w:rsidRDefault="004740BA" w:rsidP="00342DF6">
      <w:pPr>
        <w:tabs>
          <w:tab w:val="left" w:pos="6946"/>
        </w:tabs>
        <w:spacing w:before="165"/>
        <w:ind w:left="172"/>
        <w:jc w:val="both"/>
        <w:rPr>
          <w:color w:val="010202"/>
          <w:sz w:val="21"/>
        </w:rPr>
      </w:pPr>
      <w:r>
        <w:rPr>
          <w:color w:val="010202"/>
          <w:sz w:val="21"/>
        </w:rPr>
        <w:t>born in</w:t>
      </w:r>
      <w:r w:rsidR="00342DF6">
        <w:rPr>
          <w:color w:val="010202"/>
          <w:sz w:val="21"/>
        </w:rPr>
        <w:t xml:space="preserve"> </w:t>
      </w:r>
      <w:r w:rsidR="00342DF6">
        <w:rPr>
          <w:color w:val="010202"/>
          <w:sz w:val="21"/>
          <w:u w:val="single"/>
        </w:rPr>
        <w:tab/>
      </w:r>
      <w:r>
        <w:rPr>
          <w:color w:val="010202"/>
          <w:sz w:val="21"/>
        </w:rPr>
        <w:t>on</w:t>
      </w:r>
      <w:r w:rsidR="00342DF6">
        <w:rPr>
          <w:color w:val="010202"/>
          <w:sz w:val="21"/>
        </w:rPr>
        <w:t xml:space="preserve"> </w:t>
      </w:r>
      <w:r w:rsidR="00342DF6" w:rsidRPr="00996CE0">
        <w:rPr>
          <w:color w:val="010202"/>
          <w:sz w:val="21"/>
          <w:u w:val="single"/>
        </w:rPr>
        <w:tab/>
      </w:r>
      <w:r w:rsidR="00342DF6" w:rsidRPr="00342DF6">
        <w:rPr>
          <w:color w:val="010202"/>
          <w:sz w:val="21"/>
          <w:u w:val="single"/>
        </w:rPr>
        <w:tab/>
      </w:r>
      <w:r w:rsidR="00342DF6" w:rsidRPr="00342DF6">
        <w:rPr>
          <w:color w:val="010202"/>
          <w:sz w:val="21"/>
          <w:u w:val="single"/>
        </w:rPr>
        <w:tab/>
      </w:r>
      <w:r>
        <w:rPr>
          <w:color w:val="010202"/>
          <w:sz w:val="21"/>
        </w:rPr>
        <w:t xml:space="preserve">, </w:t>
      </w:r>
    </w:p>
    <w:p w14:paraId="27427390" w14:textId="7C9832F1" w:rsidR="00342DF6" w:rsidRDefault="004740BA" w:rsidP="00342DF6">
      <w:pPr>
        <w:tabs>
          <w:tab w:val="left" w:pos="6804"/>
          <w:tab w:val="left" w:pos="9214"/>
          <w:tab w:val="left" w:pos="9356"/>
        </w:tabs>
        <w:spacing w:before="165"/>
        <w:ind w:left="172"/>
        <w:jc w:val="both"/>
        <w:rPr>
          <w:color w:val="010202"/>
          <w:sz w:val="21"/>
          <w:u w:val="single"/>
        </w:rPr>
      </w:pPr>
      <w:r>
        <w:rPr>
          <w:color w:val="010202"/>
          <w:sz w:val="21"/>
        </w:rPr>
        <w:t>resident in</w:t>
      </w:r>
      <w:r w:rsidR="00342DF6">
        <w:rPr>
          <w:color w:val="010202"/>
          <w:sz w:val="21"/>
        </w:rPr>
        <w:t xml:space="preserve"> </w:t>
      </w:r>
      <w:r w:rsidRPr="00342DF6">
        <w:rPr>
          <w:color w:val="010202"/>
          <w:sz w:val="21"/>
          <w:u w:val="single"/>
        </w:rPr>
        <w:tab/>
      </w:r>
      <w:r w:rsidR="00342DF6">
        <w:rPr>
          <w:color w:val="010202"/>
          <w:sz w:val="21"/>
          <w:u w:val="single"/>
        </w:rPr>
        <w:tab/>
      </w:r>
    </w:p>
    <w:p w14:paraId="53708890" w14:textId="241E3729" w:rsidR="00342DF6" w:rsidRDefault="004740BA" w:rsidP="00342DF6">
      <w:pPr>
        <w:tabs>
          <w:tab w:val="left" w:pos="6804"/>
          <w:tab w:val="left" w:pos="9214"/>
        </w:tabs>
        <w:spacing w:before="165"/>
        <w:ind w:left="172"/>
        <w:jc w:val="both"/>
        <w:rPr>
          <w:color w:val="010202"/>
          <w:sz w:val="21"/>
        </w:rPr>
      </w:pPr>
      <w:r>
        <w:rPr>
          <w:color w:val="010202"/>
          <w:sz w:val="21"/>
        </w:rPr>
        <w:t>at</w:t>
      </w:r>
      <w:r w:rsidR="00342DF6">
        <w:rPr>
          <w:color w:val="010202"/>
          <w:sz w:val="21"/>
        </w:rPr>
        <w:t xml:space="preserve"> </w:t>
      </w:r>
      <w:r w:rsidR="00342DF6" w:rsidRPr="00342DF6">
        <w:rPr>
          <w:color w:val="010202"/>
          <w:sz w:val="21"/>
          <w:u w:val="single"/>
        </w:rPr>
        <w:tab/>
      </w:r>
      <w:r w:rsidR="00342DF6" w:rsidRPr="00342DF6">
        <w:rPr>
          <w:color w:val="010202"/>
          <w:sz w:val="21"/>
          <w:u w:val="single"/>
        </w:rPr>
        <w:tab/>
      </w:r>
    </w:p>
    <w:p w14:paraId="5040BEEC" w14:textId="0F6D89EF" w:rsidR="004740BA" w:rsidRDefault="00342DF6" w:rsidP="00342DF6">
      <w:pPr>
        <w:tabs>
          <w:tab w:val="left" w:pos="6804"/>
        </w:tabs>
        <w:spacing w:before="165"/>
        <w:ind w:left="172"/>
        <w:jc w:val="both"/>
        <w:rPr>
          <w:sz w:val="21"/>
        </w:rPr>
      </w:pPr>
      <w:r>
        <w:rPr>
          <w:color w:val="010202"/>
          <w:sz w:val="21"/>
        </w:rPr>
        <w:t>Place and date __________________________</w:t>
      </w:r>
    </w:p>
    <w:p w14:paraId="5EE94178" w14:textId="78514E9E" w:rsidR="009E308F" w:rsidRDefault="004740BA" w:rsidP="006B5FEA">
      <w:pPr>
        <w:spacing w:before="181"/>
        <w:ind w:left="6649"/>
        <w:jc w:val="both"/>
        <w:rPr>
          <w:color w:val="010202"/>
          <w:sz w:val="21"/>
        </w:rPr>
      </w:pPr>
      <w:r>
        <w:rPr>
          <w:color w:val="010202"/>
          <w:sz w:val="21"/>
        </w:rPr>
        <w:t>Signed (and acknowledged)</w:t>
      </w:r>
    </w:p>
    <w:p w14:paraId="21ABF060" w14:textId="77777777" w:rsidR="00342DF6" w:rsidRPr="006B5FEA" w:rsidRDefault="00342DF6" w:rsidP="006B5FEA">
      <w:pPr>
        <w:spacing w:before="181"/>
        <w:ind w:left="6649"/>
        <w:jc w:val="both"/>
        <w:rPr>
          <w:sz w:val="21"/>
        </w:rPr>
      </w:pPr>
    </w:p>
    <w:sectPr w:rsidR="00342DF6" w:rsidRPr="006B5FEA" w:rsidSect="00B61877">
      <w:footerReference w:type="default" r:id="rId10"/>
      <w:pgSz w:w="11910" w:h="16840"/>
      <w:pgMar w:top="720" w:right="880" w:bottom="280" w:left="8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1EDB" w14:textId="77777777" w:rsidR="008E5662" w:rsidRDefault="008E5662">
      <w:r>
        <w:separator/>
      </w:r>
    </w:p>
  </w:endnote>
  <w:endnote w:type="continuationSeparator" w:id="0">
    <w:p w14:paraId="683CF445" w14:textId="77777777" w:rsidR="008E5662" w:rsidRDefault="008E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230E" w14:textId="59410A95" w:rsidR="00342DF6" w:rsidRPr="00AB45A5" w:rsidRDefault="00342DF6" w:rsidP="00342DF6">
    <w:pPr>
      <w:jc w:val="center"/>
      <w:rPr>
        <w:rStyle w:val="field-content"/>
        <w:rFonts w:asciiTheme="minorHAnsi" w:hAnsiTheme="minorHAnsi" w:cstheme="minorHAnsi"/>
        <w:sz w:val="20"/>
        <w:szCs w:val="20"/>
      </w:rPr>
    </w:pPr>
    <w:r w:rsidRPr="00AB45A5">
      <w:rPr>
        <w:rStyle w:val="field-content"/>
        <w:rFonts w:asciiTheme="minorHAnsi" w:hAnsiTheme="minorHAnsi" w:cstheme="minorHAnsi"/>
        <w:b/>
        <w:bCs/>
        <w:sz w:val="20"/>
        <w:szCs w:val="20"/>
      </w:rPr>
      <w:t>Institute of Materials for Electronics and Magnetism (IMEM-CNR)</w:t>
    </w:r>
  </w:p>
  <w:p w14:paraId="662E86A2" w14:textId="77777777" w:rsidR="00342DF6" w:rsidRPr="00AB45A5" w:rsidRDefault="00342DF6" w:rsidP="00342DF6">
    <w:pPr>
      <w:jc w:val="center"/>
      <w:rPr>
        <w:rStyle w:val="field-content"/>
        <w:rFonts w:asciiTheme="minorHAnsi" w:hAnsiTheme="minorHAnsi" w:cstheme="minorHAnsi"/>
        <w:sz w:val="16"/>
        <w:szCs w:val="16"/>
      </w:rPr>
    </w:pPr>
    <w:r w:rsidRPr="00AB45A5">
      <w:rPr>
        <w:rStyle w:val="field-content"/>
        <w:rFonts w:asciiTheme="minorHAnsi" w:hAnsiTheme="minorHAnsi" w:cstheme="minorHAnsi"/>
        <w:sz w:val="16"/>
        <w:szCs w:val="16"/>
      </w:rPr>
      <w:t xml:space="preserve">Parco Area </w:t>
    </w:r>
    <w:proofErr w:type="spellStart"/>
    <w:r w:rsidRPr="00AB45A5">
      <w:rPr>
        <w:rStyle w:val="field-content"/>
        <w:rFonts w:asciiTheme="minorHAnsi" w:hAnsiTheme="minorHAnsi" w:cstheme="minorHAnsi"/>
        <w:sz w:val="16"/>
        <w:szCs w:val="16"/>
      </w:rPr>
      <w:t>delle</w:t>
    </w:r>
    <w:proofErr w:type="spellEnd"/>
    <w:r w:rsidRPr="00AB45A5">
      <w:rPr>
        <w:rStyle w:val="field-content"/>
        <w:rFonts w:asciiTheme="minorHAnsi" w:hAnsiTheme="minorHAnsi" w:cstheme="minorHAnsi"/>
        <w:sz w:val="16"/>
        <w:szCs w:val="16"/>
      </w:rPr>
      <w:t xml:space="preserve"> </w:t>
    </w:r>
    <w:proofErr w:type="spellStart"/>
    <w:r w:rsidRPr="00AB45A5">
      <w:rPr>
        <w:rStyle w:val="field-content"/>
        <w:rFonts w:asciiTheme="minorHAnsi" w:hAnsiTheme="minorHAnsi" w:cstheme="minorHAnsi"/>
        <w:sz w:val="16"/>
        <w:szCs w:val="16"/>
      </w:rPr>
      <w:t>Scienze</w:t>
    </w:r>
    <w:proofErr w:type="spellEnd"/>
    <w:r w:rsidRPr="00AB45A5">
      <w:rPr>
        <w:rStyle w:val="field-content"/>
        <w:rFonts w:asciiTheme="minorHAnsi" w:hAnsiTheme="minorHAnsi" w:cstheme="minorHAnsi"/>
        <w:sz w:val="16"/>
        <w:szCs w:val="16"/>
      </w:rPr>
      <w:t>, 37/A – I-43124 Parma, Italy</w:t>
    </w:r>
  </w:p>
  <w:p w14:paraId="21EFD7AF" w14:textId="77777777" w:rsidR="00342DF6" w:rsidRPr="00AB45A5" w:rsidRDefault="00342DF6" w:rsidP="00342DF6">
    <w:pPr>
      <w:jc w:val="center"/>
      <w:rPr>
        <w:rFonts w:asciiTheme="minorHAnsi" w:hAnsiTheme="minorHAnsi" w:cstheme="minorHAnsi"/>
        <w:sz w:val="16"/>
        <w:szCs w:val="16"/>
      </w:rPr>
    </w:pPr>
    <w:r w:rsidRPr="0049274F">
      <w:rPr>
        <w:rStyle w:val="field-content"/>
        <w:rFonts w:asciiTheme="minorHAnsi" w:hAnsiTheme="minorHAnsi" w:cstheme="minorHAnsi"/>
        <w:sz w:val="16"/>
        <w:szCs w:val="16"/>
      </w:rPr>
      <w:t>www.imem.cnr.it</w:t>
    </w:r>
    <w:r>
      <w:rPr>
        <w:rStyle w:val="field-content"/>
        <w:rFonts w:asciiTheme="minorHAnsi" w:hAnsiTheme="minorHAnsi" w:cstheme="minorHAnsi"/>
        <w:sz w:val="16"/>
        <w:szCs w:val="16"/>
      </w:rPr>
      <w:t xml:space="preserve"> | </w:t>
    </w:r>
    <w:r w:rsidRPr="00AB45A5">
      <w:rPr>
        <w:rStyle w:val="field-content"/>
        <w:rFonts w:asciiTheme="minorHAnsi" w:hAnsiTheme="minorHAnsi" w:cstheme="minorHAnsi"/>
        <w:sz w:val="16"/>
        <w:szCs w:val="16"/>
      </w:rPr>
      <w:t>concorsi.imem@imem.cnr.it</w:t>
    </w:r>
  </w:p>
  <w:p w14:paraId="3F3977C2" w14:textId="1AA223B8" w:rsidR="00342DF6" w:rsidRDefault="00342DF6">
    <w:pPr>
      <w:pStyle w:val="Pidipagina"/>
    </w:pPr>
  </w:p>
  <w:p w14:paraId="3220F719" w14:textId="77777777" w:rsidR="00B61877" w:rsidRDefault="00000000">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D119D" w14:textId="77777777" w:rsidR="008E5662" w:rsidRDefault="008E5662">
      <w:r>
        <w:separator/>
      </w:r>
    </w:p>
  </w:footnote>
  <w:footnote w:type="continuationSeparator" w:id="0">
    <w:p w14:paraId="6068706C" w14:textId="77777777" w:rsidR="008E5662" w:rsidRDefault="008E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35E"/>
    <w:multiLevelType w:val="hybridMultilevel"/>
    <w:tmpl w:val="DE527618"/>
    <w:lvl w:ilvl="0" w:tplc="01B24A30">
      <w:start w:val="1"/>
      <w:numFmt w:val="decimal"/>
      <w:lvlText w:val="%1)"/>
      <w:lvlJc w:val="left"/>
      <w:pPr>
        <w:ind w:left="597" w:hanging="425"/>
      </w:pPr>
      <w:rPr>
        <w:rFonts w:ascii="Times New Roman" w:eastAsia="Times New Roman" w:hAnsi="Times New Roman" w:cs="Times New Roman" w:hint="default"/>
        <w:color w:val="010202"/>
        <w:w w:val="100"/>
        <w:sz w:val="21"/>
        <w:szCs w:val="21"/>
        <w:lang w:val="it-IT" w:eastAsia="it-IT" w:bidi="it-IT"/>
      </w:rPr>
    </w:lvl>
    <w:lvl w:ilvl="1" w:tplc="A2EEF408">
      <w:numFmt w:val="bullet"/>
      <w:lvlText w:val="•"/>
      <w:lvlJc w:val="left"/>
      <w:pPr>
        <w:ind w:left="1560" w:hanging="425"/>
      </w:pPr>
      <w:rPr>
        <w:rFonts w:hint="default"/>
        <w:lang w:val="it-IT" w:eastAsia="it-IT" w:bidi="it-IT"/>
      </w:rPr>
    </w:lvl>
    <w:lvl w:ilvl="2" w:tplc="6EF0571E">
      <w:numFmt w:val="bullet"/>
      <w:lvlText w:val="•"/>
      <w:lvlJc w:val="left"/>
      <w:pPr>
        <w:ind w:left="2520" w:hanging="425"/>
      </w:pPr>
      <w:rPr>
        <w:rFonts w:hint="default"/>
        <w:lang w:val="it-IT" w:eastAsia="it-IT" w:bidi="it-IT"/>
      </w:rPr>
    </w:lvl>
    <w:lvl w:ilvl="3" w:tplc="ADAE8266">
      <w:numFmt w:val="bullet"/>
      <w:lvlText w:val="•"/>
      <w:lvlJc w:val="left"/>
      <w:pPr>
        <w:ind w:left="3481" w:hanging="425"/>
      </w:pPr>
      <w:rPr>
        <w:rFonts w:hint="default"/>
        <w:lang w:val="it-IT" w:eastAsia="it-IT" w:bidi="it-IT"/>
      </w:rPr>
    </w:lvl>
    <w:lvl w:ilvl="4" w:tplc="EC481808">
      <w:numFmt w:val="bullet"/>
      <w:lvlText w:val="•"/>
      <w:lvlJc w:val="left"/>
      <w:pPr>
        <w:ind w:left="4441" w:hanging="425"/>
      </w:pPr>
      <w:rPr>
        <w:rFonts w:hint="default"/>
        <w:lang w:val="it-IT" w:eastAsia="it-IT" w:bidi="it-IT"/>
      </w:rPr>
    </w:lvl>
    <w:lvl w:ilvl="5" w:tplc="6E7C15C8">
      <w:numFmt w:val="bullet"/>
      <w:lvlText w:val="•"/>
      <w:lvlJc w:val="left"/>
      <w:pPr>
        <w:ind w:left="5402" w:hanging="425"/>
      </w:pPr>
      <w:rPr>
        <w:rFonts w:hint="default"/>
        <w:lang w:val="it-IT" w:eastAsia="it-IT" w:bidi="it-IT"/>
      </w:rPr>
    </w:lvl>
    <w:lvl w:ilvl="6" w:tplc="1D802992">
      <w:numFmt w:val="bullet"/>
      <w:lvlText w:val="•"/>
      <w:lvlJc w:val="left"/>
      <w:pPr>
        <w:ind w:left="6362" w:hanging="425"/>
      </w:pPr>
      <w:rPr>
        <w:rFonts w:hint="default"/>
        <w:lang w:val="it-IT" w:eastAsia="it-IT" w:bidi="it-IT"/>
      </w:rPr>
    </w:lvl>
    <w:lvl w:ilvl="7" w:tplc="2CCE6964">
      <w:numFmt w:val="bullet"/>
      <w:lvlText w:val="•"/>
      <w:lvlJc w:val="left"/>
      <w:pPr>
        <w:ind w:left="7323" w:hanging="425"/>
      </w:pPr>
      <w:rPr>
        <w:rFonts w:hint="default"/>
        <w:lang w:val="it-IT" w:eastAsia="it-IT" w:bidi="it-IT"/>
      </w:rPr>
    </w:lvl>
    <w:lvl w:ilvl="8" w:tplc="9C54E94C">
      <w:numFmt w:val="bullet"/>
      <w:lvlText w:val="•"/>
      <w:lvlJc w:val="left"/>
      <w:pPr>
        <w:ind w:left="8283" w:hanging="425"/>
      </w:pPr>
      <w:rPr>
        <w:rFonts w:hint="default"/>
        <w:lang w:val="it-IT" w:eastAsia="it-IT" w:bidi="it-IT"/>
      </w:rPr>
    </w:lvl>
  </w:abstractNum>
  <w:num w:numId="1" w16cid:durableId="783888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BA"/>
    <w:rsid w:val="00342DF6"/>
    <w:rsid w:val="004740BA"/>
    <w:rsid w:val="005D6556"/>
    <w:rsid w:val="006A057F"/>
    <w:rsid w:val="006B5FEA"/>
    <w:rsid w:val="008C7C12"/>
    <w:rsid w:val="008E5662"/>
    <w:rsid w:val="00996CE0"/>
    <w:rsid w:val="009A1B67"/>
    <w:rsid w:val="009E308F"/>
    <w:rsid w:val="00B54A7E"/>
    <w:rsid w:val="00BA2D2C"/>
    <w:rsid w:val="00BB0BC0"/>
    <w:rsid w:val="00DF4D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EF15A"/>
  <w15:docId w15:val="{F3485D8F-CCDB-4BC6-A737-6EDCEA15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4740BA"/>
    <w:pPr>
      <w:widowControl w:val="0"/>
      <w:autoSpaceDE w:val="0"/>
      <w:autoSpaceDN w:val="0"/>
      <w:spacing w:after="0" w:line="240" w:lineRule="auto"/>
    </w:pPr>
    <w:rPr>
      <w:rFonts w:ascii="Times New Roman" w:eastAsia="Times New Roman" w:hAnsi="Times New Roman" w:cs="Times New Roman"/>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740BA"/>
    <w:rPr>
      <w:sz w:val="24"/>
      <w:szCs w:val="24"/>
    </w:rPr>
  </w:style>
  <w:style w:type="character" w:customStyle="1" w:styleId="CorpotestoCarattere">
    <w:name w:val="Corpo testo Carattere"/>
    <w:basedOn w:val="Carpredefinitoparagrafo"/>
    <w:link w:val="Corpotesto"/>
    <w:uiPriority w:val="1"/>
    <w:rsid w:val="004740BA"/>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4740BA"/>
    <w:pPr>
      <w:ind w:left="856" w:hanging="425"/>
      <w:jc w:val="both"/>
    </w:pPr>
  </w:style>
  <w:style w:type="paragraph" w:styleId="Testofumetto">
    <w:name w:val="Balloon Text"/>
    <w:basedOn w:val="Normale"/>
    <w:link w:val="TestofumettoCarattere"/>
    <w:uiPriority w:val="99"/>
    <w:semiHidden/>
    <w:unhideWhenUsed/>
    <w:rsid w:val="004740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40BA"/>
    <w:rPr>
      <w:rFonts w:ascii="Tahoma" w:eastAsia="Times New Roman" w:hAnsi="Tahoma" w:cs="Tahoma"/>
      <w:sz w:val="16"/>
      <w:szCs w:val="16"/>
      <w:lang w:eastAsia="it-IT" w:bidi="it-IT"/>
    </w:rPr>
  </w:style>
  <w:style w:type="paragraph" w:styleId="Intestazione">
    <w:name w:val="header"/>
    <w:basedOn w:val="Normale"/>
    <w:link w:val="IntestazioneCarattere"/>
    <w:uiPriority w:val="99"/>
    <w:unhideWhenUsed/>
    <w:rsid w:val="00342DF6"/>
    <w:pPr>
      <w:tabs>
        <w:tab w:val="center" w:pos="4819"/>
        <w:tab w:val="right" w:pos="9638"/>
      </w:tabs>
    </w:pPr>
  </w:style>
  <w:style w:type="character" w:customStyle="1" w:styleId="IntestazioneCarattere">
    <w:name w:val="Intestazione Carattere"/>
    <w:basedOn w:val="Carpredefinitoparagrafo"/>
    <w:link w:val="Intestazione"/>
    <w:uiPriority w:val="99"/>
    <w:rsid w:val="00342DF6"/>
    <w:rPr>
      <w:rFonts w:ascii="Times New Roman" w:eastAsia="Times New Roman" w:hAnsi="Times New Roman" w:cs="Times New Roman"/>
      <w:lang w:eastAsia="it-IT" w:bidi="it-IT"/>
    </w:rPr>
  </w:style>
  <w:style w:type="paragraph" w:styleId="Pidipagina">
    <w:name w:val="footer"/>
    <w:basedOn w:val="Normale"/>
    <w:link w:val="PidipaginaCarattere"/>
    <w:uiPriority w:val="99"/>
    <w:unhideWhenUsed/>
    <w:rsid w:val="00342DF6"/>
    <w:pPr>
      <w:tabs>
        <w:tab w:val="center" w:pos="4819"/>
        <w:tab w:val="right" w:pos="9638"/>
      </w:tabs>
    </w:pPr>
  </w:style>
  <w:style w:type="character" w:customStyle="1" w:styleId="PidipaginaCarattere">
    <w:name w:val="Piè di pagina Carattere"/>
    <w:basedOn w:val="Carpredefinitoparagrafo"/>
    <w:link w:val="Pidipagina"/>
    <w:uiPriority w:val="99"/>
    <w:rsid w:val="00342DF6"/>
    <w:rPr>
      <w:rFonts w:ascii="Times New Roman" w:eastAsia="Times New Roman" w:hAnsi="Times New Roman" w:cs="Times New Roman"/>
      <w:lang w:eastAsia="it-IT" w:bidi="it-IT"/>
    </w:rPr>
  </w:style>
  <w:style w:type="character" w:customStyle="1" w:styleId="field-content">
    <w:name w:val="field-content"/>
    <w:basedOn w:val="Carpredefinitoparagrafo"/>
    <w:rsid w:val="00342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ammcen@pec.cnr.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mcen@pec.cn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572</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cnr</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fusco</dc:creator>
  <cp:lastModifiedBy>Antonietta Secondulfo</cp:lastModifiedBy>
  <cp:revision>5</cp:revision>
  <dcterms:created xsi:type="dcterms:W3CDTF">2022-05-02T14:52:00Z</dcterms:created>
  <dcterms:modified xsi:type="dcterms:W3CDTF">2022-07-25T13:35:00Z</dcterms:modified>
</cp:coreProperties>
</file>